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51AB" w14:textId="77777777" w:rsidR="000E27E4" w:rsidRDefault="000B2723">
      <w:pPr>
        <w:ind w:left="5040" w:firstLine="72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</w:t>
      </w:r>
    </w:p>
    <w:p w14:paraId="332151AC" w14:textId="77777777" w:rsidR="000E27E4" w:rsidRDefault="000B2723">
      <w:pPr>
        <w:pStyle w:val="Heading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ŠIAULIŲ „AUŠROS“ MUZIEJUS</w:t>
      </w:r>
    </w:p>
    <w:p w14:paraId="332151AD" w14:textId="77777777" w:rsidR="000E27E4" w:rsidRDefault="000E27E4">
      <w:pPr>
        <w:ind w:firstLine="6521"/>
        <w:rPr>
          <w:bCs/>
          <w:lang w:val="lt-LT"/>
        </w:rPr>
      </w:pPr>
    </w:p>
    <w:p w14:paraId="332151AE" w14:textId="77777777" w:rsidR="000E27E4" w:rsidRDefault="000B2723">
      <w:pPr>
        <w:ind w:firstLine="6521"/>
        <w:rPr>
          <w:bCs/>
          <w:lang w:val="lt-LT"/>
        </w:rPr>
      </w:pPr>
      <w:r>
        <w:rPr>
          <w:bCs/>
          <w:lang w:val="lt-LT"/>
        </w:rPr>
        <w:t>PATVIRTINTA</w:t>
      </w:r>
    </w:p>
    <w:p w14:paraId="332151AF" w14:textId="77777777" w:rsidR="000E27E4" w:rsidRDefault="000B2723">
      <w:pPr>
        <w:ind w:firstLine="6521"/>
      </w:pPr>
      <w:r>
        <w:rPr>
          <w:bCs/>
          <w:lang w:val="lt-LT"/>
        </w:rPr>
        <w:t>Šiaulių „Aušros“ muziejaus</w:t>
      </w:r>
    </w:p>
    <w:p w14:paraId="332151B0" w14:textId="77777777" w:rsidR="000E27E4" w:rsidRDefault="000B2723">
      <w:pPr>
        <w:pStyle w:val="Header"/>
        <w:tabs>
          <w:tab w:val="clear" w:pos="4153"/>
          <w:tab w:val="clear" w:pos="8306"/>
        </w:tabs>
        <w:overflowPunct/>
        <w:autoSpaceDE/>
        <w:ind w:firstLine="652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direktoriaus 2023-06-</w:t>
      </w:r>
    </w:p>
    <w:p w14:paraId="332151B1" w14:textId="77777777" w:rsidR="000E27E4" w:rsidRDefault="000B2723">
      <w:pPr>
        <w:ind w:firstLine="6521"/>
        <w:rPr>
          <w:lang w:val="lt-LT"/>
        </w:rPr>
      </w:pPr>
      <w:r>
        <w:rPr>
          <w:lang w:val="lt-LT"/>
        </w:rPr>
        <w:t>veiklos įsakymu Nr. V1-</w:t>
      </w:r>
    </w:p>
    <w:p w14:paraId="332151B2" w14:textId="77777777" w:rsidR="000E27E4" w:rsidRDefault="000E27E4">
      <w:pPr>
        <w:jc w:val="center"/>
        <w:rPr>
          <w:lang w:val="lt-LT"/>
        </w:rPr>
      </w:pPr>
    </w:p>
    <w:p w14:paraId="332151B3" w14:textId="77777777" w:rsidR="000E27E4" w:rsidRDefault="000E27E4">
      <w:pPr>
        <w:jc w:val="center"/>
        <w:rPr>
          <w:lang w:val="lt-LT"/>
        </w:rPr>
      </w:pPr>
    </w:p>
    <w:p w14:paraId="332151B4" w14:textId="77777777" w:rsidR="000E27E4" w:rsidRDefault="000B2723">
      <w:pPr>
        <w:jc w:val="center"/>
        <w:rPr>
          <w:b/>
          <w:bCs/>
          <w:lang w:val="lt-LT"/>
        </w:rPr>
      </w:pPr>
      <w:bookmarkStart w:id="0" w:name="_GoBack"/>
      <w:r>
        <w:rPr>
          <w:b/>
          <w:bCs/>
          <w:lang w:val="lt-LT"/>
        </w:rPr>
        <w:t xml:space="preserve">REIKALAVIMAI KONKURSO DALYVIUI IR NUOMOJAMO </w:t>
      </w:r>
      <w:r>
        <w:rPr>
          <w:b/>
          <w:bCs/>
          <w:lang w:val="lt-LT"/>
        </w:rPr>
        <w:t>TURTO NAUDOJIMO PASKIRTIS BEI YPATUMAI</w:t>
      </w:r>
    </w:p>
    <w:bookmarkEnd w:id="0"/>
    <w:p w14:paraId="332151B5" w14:textId="77777777" w:rsidR="000E27E4" w:rsidRDefault="000E27E4">
      <w:pPr>
        <w:jc w:val="center"/>
        <w:rPr>
          <w:b/>
          <w:bCs/>
          <w:lang w:val="lt-LT"/>
        </w:rPr>
      </w:pPr>
    </w:p>
    <w:p w14:paraId="332151B6" w14:textId="77777777" w:rsidR="000E27E4" w:rsidRDefault="000B2723">
      <w:pPr>
        <w:jc w:val="center"/>
        <w:rPr>
          <w:bCs/>
          <w:lang w:val="lt-LT"/>
        </w:rPr>
      </w:pPr>
      <w:r>
        <w:rPr>
          <w:bCs/>
          <w:lang w:val="lt-LT"/>
        </w:rPr>
        <w:t>2023 m. birželio 15 d.</w:t>
      </w:r>
    </w:p>
    <w:p w14:paraId="332151B7" w14:textId="77777777" w:rsidR="000E27E4" w:rsidRDefault="000B2723">
      <w:pPr>
        <w:jc w:val="center"/>
        <w:rPr>
          <w:bCs/>
          <w:lang w:val="lt-LT"/>
        </w:rPr>
      </w:pPr>
      <w:r>
        <w:rPr>
          <w:bCs/>
          <w:lang w:val="lt-LT"/>
        </w:rPr>
        <w:t>Šiauliai</w:t>
      </w:r>
    </w:p>
    <w:p w14:paraId="332151B8" w14:textId="77777777" w:rsidR="000E27E4" w:rsidRDefault="000E27E4">
      <w:pPr>
        <w:jc w:val="center"/>
        <w:rPr>
          <w:b/>
          <w:bCs/>
          <w:lang w:val="lt-LT"/>
        </w:rPr>
      </w:pPr>
    </w:p>
    <w:p w14:paraId="332151B9" w14:textId="77777777" w:rsidR="000E27E4" w:rsidRPr="000B2723" w:rsidRDefault="000B2723">
      <w:pPr>
        <w:ind w:firstLine="567"/>
        <w:jc w:val="both"/>
        <w:rPr>
          <w:lang w:val="lt-LT"/>
        </w:rPr>
      </w:pPr>
      <w:r>
        <w:rPr>
          <w:bCs/>
          <w:lang w:val="lt-LT"/>
        </w:rPr>
        <w:t xml:space="preserve">Vadovaudamiesi </w:t>
      </w:r>
      <w:r>
        <w:rPr>
          <w:lang w:val="lt-LT"/>
        </w:rPr>
        <w:t>Valstybės ilgalaikio materialiojo turto viešojo nuomos konkurso ir nuomos ne konkurso būdu organizavimo tvarkos aprašo, patvirtinto Lietuvos Respublikos Vyriausybės 200</w:t>
      </w:r>
      <w:r>
        <w:rPr>
          <w:lang w:val="lt-LT"/>
        </w:rPr>
        <w:t>1 m. gruodžio 14 d. nutarimu Nr. 1524 (Lietuvos Respublikos Vyriausybės 2014 m. lapkričio 5 d. nutarimo Nr. 1229 redakcija) 8 punktu, nustatome tokius reikalavimus konkurso dalyviui ir nuomojamo turto naudojimo bei paskirties ypatumus:</w:t>
      </w:r>
    </w:p>
    <w:p w14:paraId="332151BA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lang w:val="lt-LT"/>
        </w:rPr>
        <w:t>Konkurso dalyvis pri</w:t>
      </w:r>
      <w:r>
        <w:rPr>
          <w:lang w:val="lt-LT"/>
        </w:rPr>
        <w:t>valo turėti viešojo maitinimo paslaugos (kavinės) teikimo patyrimą, ne mažesnį kaip 3 metai.</w:t>
      </w:r>
    </w:p>
    <w:p w14:paraId="332151BB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lang w:val="lt-LT"/>
        </w:rPr>
        <w:t>Privaloma nuomojamų patalpų paskirtis – viešojo maitinimo paslaugos teikimas.</w:t>
      </w:r>
    </w:p>
    <w:p w14:paraId="332151BC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lang w:val="lt-LT"/>
        </w:rPr>
        <w:t xml:space="preserve">Pagrindinė viešojo maitinimo paslaugos teikimo paskirtis - </w:t>
      </w:r>
      <w:r>
        <w:rPr>
          <w:bCs/>
          <w:lang w:val="lt-LT"/>
        </w:rPr>
        <w:t xml:space="preserve">Chaimo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vilos lan</w:t>
      </w:r>
      <w:r>
        <w:rPr>
          <w:bCs/>
          <w:lang w:val="lt-LT"/>
        </w:rPr>
        <w:t>kytojų bei šiame pastate ir parke vykstančių renginių aptarnavimas.</w:t>
      </w:r>
    </w:p>
    <w:p w14:paraId="332151BD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lang w:val="lt-LT"/>
        </w:rPr>
        <w:t xml:space="preserve">Viešojo maitinimo paslaugos teikimą pradėti tik gavus visus nustatytų formų leidimus ir </w:t>
      </w:r>
      <w:proofErr w:type="spellStart"/>
      <w:r>
        <w:rPr>
          <w:lang w:val="lt-LT"/>
        </w:rPr>
        <w:t>derinimus</w:t>
      </w:r>
      <w:proofErr w:type="spellEnd"/>
      <w:r>
        <w:rPr>
          <w:lang w:val="lt-LT"/>
        </w:rPr>
        <w:t>.</w:t>
      </w:r>
    </w:p>
    <w:p w14:paraId="332151BE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Nekeisti patalpų išplanavimo, saugoti esančius interjerus.</w:t>
      </w:r>
    </w:p>
    <w:p w14:paraId="332151BF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Viešojo maitinimo paslaugos te</w:t>
      </w:r>
      <w:r>
        <w:rPr>
          <w:bCs/>
          <w:lang w:val="lt-LT"/>
        </w:rPr>
        <w:t>ikimo įrangą parinkti ir sumontuoti taip, kad netrukdytų muziejaus veiklai.</w:t>
      </w:r>
    </w:p>
    <w:p w14:paraId="332151C0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 xml:space="preserve">Suprojektuoti ir pagaminti viešojo maitinimo paslaugos teikimui reikalingus baldus, indus, darbuotojų aprangą, atitinkančius Chaimo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viloje įrengtų nuolatinių ekspozicijų - </w:t>
      </w:r>
      <w:r>
        <w:rPr>
          <w:color w:val="000000"/>
          <w:kern w:val="2"/>
          <w:lang w:val="lt-LT"/>
        </w:rPr>
        <w:t xml:space="preserve">„Provincijos dvaras ir miestas XIX a. </w:t>
      </w:r>
      <w:proofErr w:type="spellStart"/>
      <w:r>
        <w:rPr>
          <w:color w:val="000000"/>
          <w:kern w:val="2"/>
          <w:lang w:val="lt-LT"/>
        </w:rPr>
        <w:t>vid</w:t>
      </w:r>
      <w:proofErr w:type="spellEnd"/>
      <w:r>
        <w:rPr>
          <w:color w:val="000000"/>
          <w:kern w:val="2"/>
          <w:lang w:val="lt-LT"/>
        </w:rPr>
        <w:t xml:space="preserve">.–XX a. </w:t>
      </w:r>
      <w:proofErr w:type="spellStart"/>
      <w:r>
        <w:rPr>
          <w:color w:val="000000"/>
          <w:kern w:val="2"/>
          <w:lang w:val="lt-LT"/>
        </w:rPr>
        <w:t>vid</w:t>
      </w:r>
      <w:proofErr w:type="spellEnd"/>
      <w:r>
        <w:rPr>
          <w:color w:val="000000"/>
          <w:kern w:val="2"/>
          <w:lang w:val="lt-LT"/>
        </w:rPr>
        <w:t>.“ ir „Žydų paveldas Š</w:t>
      </w:r>
      <w:r>
        <w:rPr>
          <w:color w:val="000000"/>
          <w:kern w:val="2"/>
          <w:lang w:val="lt-LT"/>
        </w:rPr>
        <w:t xml:space="preserve">iauliuose: pirkliai </w:t>
      </w:r>
      <w:proofErr w:type="spellStart"/>
      <w:r>
        <w:rPr>
          <w:color w:val="000000"/>
          <w:kern w:val="2"/>
          <w:lang w:val="lt-LT"/>
        </w:rPr>
        <w:t>Frenkeliai</w:t>
      </w:r>
      <w:proofErr w:type="spellEnd"/>
      <w:r>
        <w:rPr>
          <w:color w:val="000000"/>
          <w:kern w:val="2"/>
          <w:lang w:val="lt-LT"/>
        </w:rPr>
        <w:t>“ aplinką ir dvasią. Šiuos darbus derinti su</w:t>
      </w:r>
      <w:r>
        <w:rPr>
          <w:bCs/>
          <w:lang w:val="lt-LT"/>
        </w:rPr>
        <w:t xml:space="preserve"> Šiaulių „Aušros“ muziejumi.</w:t>
      </w:r>
    </w:p>
    <w:p w14:paraId="332151C1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 xml:space="preserve">Visos reklaminės įrangos ir reklamos priemonių, planuojamų naudoti Chaimo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viloje ir teritorijoje, dizainą ir stilių derinti su Šiaulių „Aušros“</w:t>
      </w:r>
      <w:r>
        <w:rPr>
          <w:bCs/>
          <w:lang w:val="lt-LT"/>
        </w:rPr>
        <w:t xml:space="preserve"> muziejumi.</w:t>
      </w:r>
    </w:p>
    <w:p w14:paraId="332151C2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V</w:t>
      </w:r>
      <w:r>
        <w:rPr>
          <w:lang w:val="lt-LT"/>
        </w:rPr>
        <w:t>iešojo maitinimo paslaugos</w:t>
      </w:r>
      <w:r>
        <w:rPr>
          <w:bCs/>
          <w:lang w:val="lt-LT"/>
        </w:rPr>
        <w:t xml:space="preserve"> teikimo aplinka, aptarnavimas, patiekalai, muzikinis fonas turi atitikti minėtų ekspozicijų aplinką ir dvasią.</w:t>
      </w:r>
    </w:p>
    <w:p w14:paraId="332151C3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 xml:space="preserve">Derinti </w:t>
      </w:r>
      <w:r>
        <w:rPr>
          <w:lang w:val="lt-LT"/>
        </w:rPr>
        <w:t>viešojo maitinimo paslaugos teikimo</w:t>
      </w:r>
      <w:r>
        <w:rPr>
          <w:bCs/>
          <w:lang w:val="lt-LT"/>
        </w:rPr>
        <w:t xml:space="preserve"> darbo laiką su muziejaus ekspozicijų lankymo laiku. Nuolat de</w:t>
      </w:r>
      <w:r>
        <w:rPr>
          <w:bCs/>
          <w:lang w:val="lt-LT"/>
        </w:rPr>
        <w:t>rinti išnuomotose patalpose organizuojamų veiklų laiką su muziejaus renginių, ekskursijų, edukacijų grafiku. Vykdyti viešojo maitinimo paslaugas ne mažiau, kaip penkias dienas per savaitę.</w:t>
      </w:r>
    </w:p>
    <w:p w14:paraId="332151C4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Ypatingais atvejais, gavus Šiaulių „Aušros“ muziejaus leidimą ir pr</w:t>
      </w:r>
      <w:r>
        <w:rPr>
          <w:bCs/>
          <w:lang w:val="lt-LT"/>
        </w:rPr>
        <w:t xml:space="preserve">ailginus </w:t>
      </w:r>
      <w:r>
        <w:rPr>
          <w:lang w:val="lt-LT"/>
        </w:rPr>
        <w:t xml:space="preserve">viešojo maitinimo paslaugos teikimo </w:t>
      </w:r>
      <w:r>
        <w:rPr>
          <w:bCs/>
          <w:lang w:val="lt-LT"/>
        </w:rPr>
        <w:t>darbo laiką, papildomai atsiskaityti pagal galiojančius įkainius su Šiaulių „Aušros“ muziejumi už budinčių darbuotojų viršvalandinį darbą.</w:t>
      </w:r>
    </w:p>
    <w:p w14:paraId="332151C5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Nuomininkas įsipareigoja teikti maistą, muziejaus vykdomiems edukaciniam</w:t>
      </w:r>
      <w:r>
        <w:rPr>
          <w:bCs/>
          <w:lang w:val="lt-LT"/>
        </w:rPr>
        <w:t>s užsiėmimas („Košerinio maisto paslaptys“).</w:t>
      </w:r>
    </w:p>
    <w:p w14:paraId="332151C6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 xml:space="preserve">Nuomininkas įsipareigoja vykdyti viešojo maitinimo paslaugą vasaros sezono metu Chaimo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vilos parke. Vykdyti prekybą bei aptarnauti muziejaus organizuojamų renginių, Tarptautinio Chaimo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vilos vasaros festivalio lankytojus. </w:t>
      </w:r>
    </w:p>
    <w:p w14:paraId="332151C7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Įsirengti ats</w:t>
      </w:r>
      <w:r>
        <w:rPr>
          <w:bCs/>
          <w:lang w:val="lt-LT"/>
        </w:rPr>
        <w:t>kirą elektros energijos ir vandens apskaitą ir pagal ją reguliariai atsiskaityti su Šiaulių „Aušros“ muziejumi.</w:t>
      </w:r>
    </w:p>
    <w:p w14:paraId="332151C8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Reguliariai atsiskaityti su Šiaulių „Aušros“ muziejumi už šildymą ir patalpų apsaugą pagal galiojančius įkainius proporcingai užimamam plotui.</w:t>
      </w:r>
    </w:p>
    <w:p w14:paraId="332151C9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lastRenderedPageBreak/>
        <w:t>V</w:t>
      </w:r>
      <w:r>
        <w:rPr>
          <w:lang w:val="lt-LT"/>
        </w:rPr>
        <w:t>iešojo maitinimo paslaugos teikimo metu susidarančių</w:t>
      </w:r>
      <w:r>
        <w:rPr>
          <w:bCs/>
          <w:lang w:val="lt-LT"/>
        </w:rPr>
        <w:t xml:space="preserve"> šiukšlių šalinimui nustatyta tvarka įsirengti atskirą šiukšlių konteinerį.</w:t>
      </w:r>
    </w:p>
    <w:p w14:paraId="332151CA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Eksploatuoti ir prižiūrėti nuomojamose patalpose įrengtą priešgaisrinę ir apsauginę signalizacijos sistemas – dalį bendros Chaim</w:t>
      </w:r>
      <w:r>
        <w:rPr>
          <w:bCs/>
          <w:lang w:val="lt-LT"/>
        </w:rPr>
        <w:t xml:space="preserve">o </w:t>
      </w:r>
      <w:proofErr w:type="spellStart"/>
      <w:r>
        <w:rPr>
          <w:bCs/>
          <w:lang w:val="lt-LT"/>
        </w:rPr>
        <w:t>Frenkelio</w:t>
      </w:r>
      <w:proofErr w:type="spellEnd"/>
      <w:r>
        <w:rPr>
          <w:bCs/>
          <w:lang w:val="lt-LT"/>
        </w:rPr>
        <w:t xml:space="preserve"> vilos priešgaisrinės ir apsauginės sistemos.</w:t>
      </w:r>
    </w:p>
    <w:p w14:paraId="332151CB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Nuomojamose patalpose ir bendrai prižiūrimose patalpose laikytis priešgaisrinės saugos reikalavimų.</w:t>
      </w:r>
    </w:p>
    <w:p w14:paraId="332151CC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>Gaisro, įsilaužimo, stichinės nelaimės atveju užtikrinti laisvą ir netrukdomą specialiųjų tarnybų d</w:t>
      </w:r>
      <w:r>
        <w:rPr>
          <w:bCs/>
          <w:lang w:val="lt-LT"/>
        </w:rPr>
        <w:t>arbuotojų įėjimą į patalpas.</w:t>
      </w:r>
    </w:p>
    <w:p w14:paraId="332151CD" w14:textId="77777777" w:rsidR="000E27E4" w:rsidRDefault="000B272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lt-LT"/>
        </w:rPr>
      </w:pPr>
      <w:r>
        <w:rPr>
          <w:bCs/>
          <w:lang w:val="lt-LT"/>
        </w:rPr>
        <w:t xml:space="preserve">Dėl </w:t>
      </w:r>
      <w:r>
        <w:rPr>
          <w:lang w:val="lt-LT"/>
        </w:rPr>
        <w:t>viešojo maitinimo paslaugos teikimo</w:t>
      </w:r>
      <w:r>
        <w:rPr>
          <w:bCs/>
          <w:lang w:val="lt-LT"/>
        </w:rPr>
        <w:t xml:space="preserve"> personalo ar šia paslauga besinaudojančių lankytojų muziejaus turtui padarytos žalos atsiskaityti su Šiaulių „Aušros“ muziejumi pagal galiojančius įkainius.</w:t>
      </w:r>
    </w:p>
    <w:p w14:paraId="332151CE" w14:textId="77777777" w:rsidR="000E27E4" w:rsidRDefault="000E27E4">
      <w:pPr>
        <w:jc w:val="both"/>
        <w:rPr>
          <w:bCs/>
          <w:lang w:val="lt-LT"/>
        </w:rPr>
      </w:pPr>
    </w:p>
    <w:p w14:paraId="332151CF" w14:textId="77777777" w:rsidR="000E27E4" w:rsidRDefault="000E27E4">
      <w:pPr>
        <w:jc w:val="both"/>
        <w:rPr>
          <w:bCs/>
          <w:lang w:val="lt-LT"/>
        </w:rPr>
      </w:pPr>
    </w:p>
    <w:p w14:paraId="332151D0" w14:textId="77777777" w:rsidR="000E27E4" w:rsidRDefault="000E27E4">
      <w:pPr>
        <w:jc w:val="both"/>
        <w:rPr>
          <w:bCs/>
          <w:lang w:val="lt-LT"/>
        </w:rPr>
      </w:pPr>
    </w:p>
    <w:tbl>
      <w:tblPr>
        <w:tblW w:w="9567" w:type="dxa"/>
        <w:tblLayout w:type="fixed"/>
        <w:tblLook w:val="0000" w:firstRow="0" w:lastRow="0" w:firstColumn="0" w:lastColumn="0" w:noHBand="0" w:noVBand="0"/>
      </w:tblPr>
      <w:tblGrid>
        <w:gridCol w:w="3402"/>
        <w:gridCol w:w="2940"/>
        <w:gridCol w:w="3225"/>
      </w:tblGrid>
      <w:tr w:rsidR="000E27E4" w14:paraId="332151D4" w14:textId="77777777">
        <w:tc>
          <w:tcPr>
            <w:tcW w:w="3402" w:type="dxa"/>
            <w:vAlign w:val="center"/>
          </w:tcPr>
          <w:p w14:paraId="332151D1" w14:textId="77777777" w:rsidR="000E27E4" w:rsidRDefault="000B272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lang w:val="lt-LT"/>
              </w:rPr>
              <w:t>Konkurso komisijos pirminin</w:t>
            </w:r>
            <w:r>
              <w:rPr>
                <w:bCs/>
                <w:lang w:val="lt-LT"/>
              </w:rPr>
              <w:t>kas</w:t>
            </w:r>
          </w:p>
        </w:tc>
        <w:tc>
          <w:tcPr>
            <w:tcW w:w="2940" w:type="dxa"/>
            <w:vAlign w:val="center"/>
          </w:tcPr>
          <w:p w14:paraId="332151D2" w14:textId="77777777" w:rsidR="000E27E4" w:rsidRDefault="000E27E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32151D3" w14:textId="77777777" w:rsidR="000E27E4" w:rsidRDefault="000B272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lang w:val="lt-LT"/>
              </w:rPr>
              <w:t xml:space="preserve">Romas </w:t>
            </w:r>
            <w:proofErr w:type="spellStart"/>
            <w:r>
              <w:rPr>
                <w:bCs/>
                <w:lang w:val="lt-LT"/>
              </w:rPr>
              <w:t>Vaiginis</w:t>
            </w:r>
            <w:proofErr w:type="spellEnd"/>
          </w:p>
        </w:tc>
      </w:tr>
    </w:tbl>
    <w:p w14:paraId="332151D5" w14:textId="77777777" w:rsidR="000E27E4" w:rsidRDefault="000E27E4">
      <w:pPr>
        <w:jc w:val="both"/>
        <w:rPr>
          <w:bCs/>
          <w:lang w:val="lt-LT"/>
        </w:rPr>
      </w:pPr>
    </w:p>
    <w:p w14:paraId="332151D6" w14:textId="77777777" w:rsidR="000E27E4" w:rsidRDefault="000E27E4">
      <w:pPr>
        <w:jc w:val="both"/>
        <w:rPr>
          <w:bCs/>
          <w:lang w:val="lt-LT"/>
        </w:rPr>
      </w:pPr>
    </w:p>
    <w:p w14:paraId="332151D7" w14:textId="77777777" w:rsidR="000E27E4" w:rsidRDefault="000B2723">
      <w:pPr>
        <w:jc w:val="center"/>
        <w:rPr>
          <w:bCs/>
          <w:lang w:val="lt-LT"/>
        </w:rPr>
      </w:pPr>
      <w:r>
        <w:rPr>
          <w:bCs/>
          <w:lang w:val="lt-LT"/>
        </w:rPr>
        <w:t>_____________________</w:t>
      </w:r>
    </w:p>
    <w:sectPr w:rsidR="000E27E4">
      <w:headerReference w:type="default" r:id="rId7"/>
      <w:headerReference w:type="first" r:id="rId8"/>
      <w:pgSz w:w="11906" w:h="16838"/>
      <w:pgMar w:top="851" w:right="567" w:bottom="851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51DE" w14:textId="77777777" w:rsidR="00000000" w:rsidRDefault="000B2723">
      <w:r>
        <w:separator/>
      </w:r>
    </w:p>
  </w:endnote>
  <w:endnote w:type="continuationSeparator" w:id="0">
    <w:p w14:paraId="332151E0" w14:textId="77777777" w:rsidR="00000000" w:rsidRDefault="000B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151DA" w14:textId="77777777" w:rsidR="00000000" w:rsidRDefault="000B2723">
      <w:r>
        <w:separator/>
      </w:r>
    </w:p>
  </w:footnote>
  <w:footnote w:type="continuationSeparator" w:id="0">
    <w:p w14:paraId="332151DC" w14:textId="77777777" w:rsidR="00000000" w:rsidRDefault="000B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51D8" w14:textId="77777777" w:rsidR="000E27E4" w:rsidRDefault="000B2723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0" allowOverlap="1" wp14:anchorId="332151DA" wp14:editId="332151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2151DC" w14:textId="785A4333" w:rsidR="000E27E4" w:rsidRDefault="000B272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151DA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14:paraId="332151DC" w14:textId="785A4333" w:rsidR="000E27E4" w:rsidRDefault="000B272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51D9" w14:textId="77777777" w:rsidR="000E27E4" w:rsidRDefault="000E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EE"/>
    <w:multiLevelType w:val="multilevel"/>
    <w:tmpl w:val="878EF8E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6B1E03"/>
    <w:multiLevelType w:val="multilevel"/>
    <w:tmpl w:val="20746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B2723"/>
    <w:rsid w:val="000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51AB"/>
  <w15:docId w15:val="{3A230D0A-6C10-4F19-8F79-FBCB65B4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lang w:val="lt-L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verflowPunct w:val="0"/>
      <w:autoSpaceDE w:val="0"/>
      <w:outlineLvl w:val="6"/>
    </w:pPr>
    <w:rPr>
      <w:rFonts w:ascii="TimesLT;Times New Roman" w:hAnsi="TimesLT;Times New Roman" w:cs="TimesLT;Times New Roman"/>
      <w:b/>
      <w:bCs/>
      <w:sz w:val="18"/>
      <w:szCs w:val="20"/>
      <w:u w:val="single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">
    <w:name w:val="Numatytasis pastraipos šriftas"/>
    <w:qFormat/>
  </w:style>
  <w:style w:type="character" w:styleId="Hyperlink">
    <w:name w:val="Hyperlink"/>
    <w:rPr>
      <w:color w:val="0000FF"/>
      <w:u w:val="single"/>
    </w:rPr>
  </w:style>
  <w:style w:type="character" w:customStyle="1" w:styleId="statymonr">
    <w:name w:val="statymonr"/>
    <w:basedOn w:val="Numatytasispastraiposriftas"/>
    <w:qFormat/>
  </w:style>
  <w:style w:type="character" w:styleId="PageNumber">
    <w:name w:val="page number"/>
    <w:basedOn w:val="Numatytasispastraiposriftas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</w:pPr>
    <w:rPr>
      <w:rFonts w:ascii="TimesLT;Times New Roman" w:hAnsi="TimesLT;Times New Roman" w:cs="TimesLT;Times New Roman"/>
      <w:szCs w:val="20"/>
      <w:lang w:val="lt-LT"/>
    </w:rPr>
  </w:style>
  <w:style w:type="paragraph" w:customStyle="1" w:styleId="DiagramaDiagramaCharChar">
    <w:name w:val="Diagrama Diagrama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besliotekstas">
    <w:name w:val="Debesėlio tekstas"/>
    <w:basedOn w:val="Normal"/>
    <w:qFormat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2549</Words>
  <Characters>1454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„Aušros“ muziejus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„Aušros“ muziejus</dc:title>
  <dc:creator>Povilas Juozapaitis</dc:creator>
  <cp:lastModifiedBy>Jolita</cp:lastModifiedBy>
  <cp:revision>2</cp:revision>
  <cp:lastPrinted>2023-06-13T16:01:00Z</cp:lastPrinted>
  <dcterms:created xsi:type="dcterms:W3CDTF">2023-06-20T06:41:00Z</dcterms:created>
  <dcterms:modified xsi:type="dcterms:W3CDTF">2023-06-20T06:41:00Z</dcterms:modified>
  <dc:language>lt-LT</dc:language>
</cp:coreProperties>
</file>